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03F" w:rsidRPr="009C0FC7" w:rsidRDefault="0071321B" w:rsidP="0061264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9C0FC7">
        <w:rPr>
          <w:rFonts w:ascii="Times New Roman" w:hAnsi="Times New Roman" w:cs="Times New Roman"/>
          <w:b/>
          <w:sz w:val="20"/>
          <w:szCs w:val="20"/>
        </w:rPr>
        <w:t>INDF ( Indofood Sukses Makmur Tbk 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838"/>
        <w:gridCol w:w="838"/>
        <w:gridCol w:w="838"/>
        <w:gridCol w:w="838"/>
        <w:gridCol w:w="838"/>
      </w:tblGrid>
      <w:tr w:rsidR="000B58FA" w:rsidRPr="009C0FC7" w:rsidTr="00612644">
        <w:trPr>
          <w:trHeight w:val="338"/>
          <w:jc w:val="center"/>
        </w:trPr>
        <w:tc>
          <w:tcPr>
            <w:tcW w:w="2802" w:type="dxa"/>
            <w:vMerge w:val="restart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Variabel</w:t>
            </w:r>
          </w:p>
        </w:tc>
        <w:tc>
          <w:tcPr>
            <w:tcW w:w="4190" w:type="dxa"/>
            <w:gridSpan w:val="5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Tahun</w:t>
            </w:r>
          </w:p>
        </w:tc>
      </w:tr>
      <w:tr w:rsidR="000B58FA" w:rsidRPr="009C0FC7" w:rsidTr="00612644">
        <w:trPr>
          <w:jc w:val="center"/>
        </w:trPr>
        <w:tc>
          <w:tcPr>
            <w:tcW w:w="2802" w:type="dxa"/>
            <w:vMerge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838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838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838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838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Profitabilitas (ROE)</w:t>
            </w:r>
          </w:p>
        </w:tc>
        <w:tc>
          <w:tcPr>
            <w:tcW w:w="838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8,90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12,48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8,60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11,99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Kebijakan Dividen (DPR)</w:t>
            </w:r>
          </w:p>
        </w:tc>
        <w:tc>
          <w:tcPr>
            <w:tcW w:w="838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49,81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49,80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49,72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49,70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49,79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Kebijakan Hutang (DER)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Nilai Perusahaan (PBV)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38,88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43,70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46,95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49,11</w:t>
            </w:r>
          </w:p>
        </w:tc>
        <w:tc>
          <w:tcPr>
            <w:tcW w:w="838" w:type="dxa"/>
          </w:tcPr>
          <w:p w:rsidR="0071321B" w:rsidRPr="009C0FC7" w:rsidRDefault="0071321B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50,04</w:t>
            </w:r>
          </w:p>
        </w:tc>
      </w:tr>
    </w:tbl>
    <w:p w:rsidR="00612644" w:rsidRDefault="00612644" w:rsidP="00612644">
      <w:pPr>
        <w:rPr>
          <w:rFonts w:ascii="Times New Roman" w:hAnsi="Times New Roman" w:cs="Times New Roman"/>
          <w:b/>
          <w:sz w:val="20"/>
          <w:szCs w:val="20"/>
        </w:rPr>
      </w:pPr>
    </w:p>
    <w:p w:rsidR="0071321B" w:rsidRPr="009C0FC7" w:rsidRDefault="00184FA5" w:rsidP="0061264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FC7">
        <w:rPr>
          <w:rFonts w:ascii="Times New Roman" w:hAnsi="Times New Roman" w:cs="Times New Roman"/>
          <w:b/>
          <w:sz w:val="20"/>
          <w:szCs w:val="20"/>
        </w:rPr>
        <w:t>TOTO ( Surya Toto Indonesia Tbk 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0"/>
        <w:gridCol w:w="850"/>
        <w:gridCol w:w="851"/>
        <w:gridCol w:w="851"/>
        <w:gridCol w:w="851"/>
        <w:gridCol w:w="851"/>
      </w:tblGrid>
      <w:tr w:rsidR="000B58FA" w:rsidRPr="009C0FC7" w:rsidTr="00612644">
        <w:trPr>
          <w:trHeight w:val="338"/>
          <w:jc w:val="center"/>
        </w:trPr>
        <w:tc>
          <w:tcPr>
            <w:tcW w:w="2800" w:type="dxa"/>
            <w:vMerge w:val="restart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Variabel</w:t>
            </w:r>
          </w:p>
        </w:tc>
        <w:tc>
          <w:tcPr>
            <w:tcW w:w="4254" w:type="dxa"/>
            <w:gridSpan w:val="5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Tahun</w:t>
            </w:r>
          </w:p>
        </w:tc>
      </w:tr>
      <w:tr w:rsidR="000B58FA" w:rsidRPr="009C0FC7" w:rsidTr="00612644">
        <w:trPr>
          <w:jc w:val="center"/>
        </w:trPr>
        <w:tc>
          <w:tcPr>
            <w:tcW w:w="2800" w:type="dxa"/>
            <w:vMerge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</w:tr>
      <w:tr w:rsidR="0071321B" w:rsidRPr="009C0FC7" w:rsidTr="00612644">
        <w:trPr>
          <w:jc w:val="center"/>
        </w:trPr>
        <w:tc>
          <w:tcPr>
            <w:tcW w:w="2800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Profitabilitas </w:t>
            </w:r>
            <w:r w:rsidR="000B58FA" w:rsidRPr="009C0FC7">
              <w:rPr>
                <w:rFonts w:ascii="Times New Roman" w:hAnsi="Times New Roman" w:cs="Times New Roman"/>
                <w:sz w:val="20"/>
                <w:szCs w:val="20"/>
              </w:rPr>
              <w:t>(ROE)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26,27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22,84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23,86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19,12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11,06</w:t>
            </w:r>
          </w:p>
        </w:tc>
      </w:tr>
      <w:tr w:rsidR="0071321B" w:rsidRPr="009C0FC7" w:rsidTr="00612644">
        <w:trPr>
          <w:jc w:val="center"/>
        </w:trPr>
        <w:tc>
          <w:tcPr>
            <w:tcW w:w="2800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Kebijakan Dividen </w:t>
            </w:r>
            <w:r w:rsidR="000B58FA" w:rsidRPr="009C0FC7">
              <w:rPr>
                <w:rFonts w:ascii="Times New Roman" w:hAnsi="Times New Roman" w:cs="Times New Roman"/>
                <w:sz w:val="20"/>
                <w:szCs w:val="20"/>
              </w:rPr>
              <w:t>(DPR)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41,99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41,88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28,66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43,42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79,59</w:t>
            </w:r>
          </w:p>
        </w:tc>
      </w:tr>
      <w:tr w:rsidR="0071321B" w:rsidRPr="009C0FC7" w:rsidTr="00612644">
        <w:trPr>
          <w:jc w:val="center"/>
        </w:trPr>
        <w:tc>
          <w:tcPr>
            <w:tcW w:w="2800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Kebijakan Hutang </w:t>
            </w:r>
            <w:r w:rsidR="000B58FA" w:rsidRPr="009C0FC7">
              <w:rPr>
                <w:rFonts w:ascii="Times New Roman" w:hAnsi="Times New Roman" w:cs="Times New Roman"/>
                <w:sz w:val="20"/>
                <w:szCs w:val="20"/>
              </w:rPr>
              <w:t>(DER)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0,70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0,69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0,64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0,69</w:t>
            </w:r>
          </w:p>
        </w:tc>
      </w:tr>
      <w:tr w:rsidR="0071321B" w:rsidRPr="009C0FC7" w:rsidTr="00612644">
        <w:trPr>
          <w:jc w:val="center"/>
        </w:trPr>
        <w:tc>
          <w:tcPr>
            <w:tcW w:w="2800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Nilai Perusahaan </w:t>
            </w:r>
            <w:r w:rsidR="000B58FA" w:rsidRPr="009C0FC7">
              <w:rPr>
                <w:rFonts w:ascii="Times New Roman" w:hAnsi="Times New Roman" w:cs="Times New Roman"/>
                <w:sz w:val="20"/>
                <w:szCs w:val="20"/>
              </w:rPr>
              <w:t>(PBV)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18,13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20,90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24,85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14,45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1,47</w:t>
            </w:r>
          </w:p>
        </w:tc>
      </w:tr>
    </w:tbl>
    <w:p w:rsidR="00612644" w:rsidRDefault="00612644" w:rsidP="00612644">
      <w:pPr>
        <w:rPr>
          <w:rFonts w:ascii="Times New Roman" w:hAnsi="Times New Roman" w:cs="Times New Roman"/>
          <w:b/>
          <w:sz w:val="20"/>
          <w:szCs w:val="20"/>
        </w:rPr>
      </w:pPr>
    </w:p>
    <w:p w:rsidR="0071321B" w:rsidRPr="009C0FC7" w:rsidRDefault="00184FA5" w:rsidP="0061264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FC7">
        <w:rPr>
          <w:rFonts w:ascii="Times New Roman" w:hAnsi="Times New Roman" w:cs="Times New Roman"/>
          <w:b/>
          <w:sz w:val="20"/>
          <w:szCs w:val="20"/>
        </w:rPr>
        <w:t>TKIM (Pabrik Kertas Tjiwi Kimia Tbk)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850"/>
        <w:gridCol w:w="851"/>
        <w:gridCol w:w="850"/>
        <w:gridCol w:w="851"/>
        <w:gridCol w:w="850"/>
      </w:tblGrid>
      <w:tr w:rsidR="000B58FA" w:rsidRPr="009C0FC7" w:rsidTr="00612644">
        <w:trPr>
          <w:trHeight w:val="338"/>
          <w:jc w:val="center"/>
        </w:trPr>
        <w:tc>
          <w:tcPr>
            <w:tcW w:w="2802" w:type="dxa"/>
            <w:vMerge w:val="restart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Variabel</w:t>
            </w:r>
          </w:p>
        </w:tc>
        <w:tc>
          <w:tcPr>
            <w:tcW w:w="4252" w:type="dxa"/>
            <w:gridSpan w:val="5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Tahun</w:t>
            </w:r>
          </w:p>
        </w:tc>
      </w:tr>
      <w:tr w:rsidR="000B58FA" w:rsidRPr="009C0FC7" w:rsidTr="00612644">
        <w:trPr>
          <w:jc w:val="center"/>
        </w:trPr>
        <w:tc>
          <w:tcPr>
            <w:tcW w:w="2802" w:type="dxa"/>
            <w:vMerge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Profitabilitas </w:t>
            </w:r>
            <w:r w:rsidR="000B58FA" w:rsidRPr="009C0FC7">
              <w:rPr>
                <w:rFonts w:ascii="Times New Roman" w:hAnsi="Times New Roman" w:cs="Times New Roman"/>
                <w:sz w:val="20"/>
                <w:szCs w:val="20"/>
              </w:rPr>
              <w:t>(ROE)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4,50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3,38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Kebijakan Dividen </w:t>
            </w:r>
            <w:r w:rsidR="000B58FA" w:rsidRPr="009C0FC7">
              <w:rPr>
                <w:rFonts w:ascii="Times New Roman" w:hAnsi="Times New Roman" w:cs="Times New Roman"/>
                <w:sz w:val="20"/>
                <w:szCs w:val="20"/>
              </w:rPr>
              <w:t>(DPR)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9,92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4,03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10,49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125,52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349,07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Kebijakan Hutang </w:t>
            </w:r>
            <w:r w:rsidR="000B58FA" w:rsidRPr="009C0FC7">
              <w:rPr>
                <w:rFonts w:ascii="Times New Roman" w:hAnsi="Times New Roman" w:cs="Times New Roman"/>
                <w:sz w:val="20"/>
                <w:szCs w:val="20"/>
              </w:rPr>
              <w:t>(DER)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2,46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2,26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1,91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1,81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1,66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Nilai Perusahaan </w:t>
            </w:r>
            <w:r w:rsidR="000B58FA" w:rsidRPr="009C0FC7">
              <w:rPr>
                <w:rFonts w:ascii="Times New Roman" w:hAnsi="Times New Roman" w:cs="Times New Roman"/>
                <w:sz w:val="20"/>
                <w:szCs w:val="20"/>
              </w:rPr>
              <w:t>(PBV)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56,05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73,33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43,35</w:t>
            </w:r>
          </w:p>
        </w:tc>
        <w:tc>
          <w:tcPr>
            <w:tcW w:w="851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52,45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  <w:r w:rsidR="00F650D5" w:rsidRPr="009C0F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612644" w:rsidRDefault="00612644" w:rsidP="00612644">
      <w:pPr>
        <w:rPr>
          <w:rFonts w:ascii="Times New Roman" w:hAnsi="Times New Roman" w:cs="Times New Roman"/>
          <w:b/>
          <w:sz w:val="20"/>
          <w:szCs w:val="20"/>
        </w:rPr>
      </w:pPr>
    </w:p>
    <w:p w:rsidR="0071321B" w:rsidRPr="009C0FC7" w:rsidRDefault="00184FA5" w:rsidP="0061264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FC7">
        <w:rPr>
          <w:rFonts w:ascii="Times New Roman" w:hAnsi="Times New Roman" w:cs="Times New Roman"/>
          <w:b/>
          <w:sz w:val="20"/>
          <w:szCs w:val="20"/>
        </w:rPr>
        <w:t>CPIN (Charoen Pokphand Indonesia Tbk)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850"/>
        <w:gridCol w:w="851"/>
        <w:gridCol w:w="850"/>
        <w:gridCol w:w="851"/>
        <w:gridCol w:w="850"/>
      </w:tblGrid>
      <w:tr w:rsidR="000B58FA" w:rsidRPr="009C0FC7" w:rsidTr="00612644">
        <w:trPr>
          <w:trHeight w:val="338"/>
          <w:jc w:val="center"/>
        </w:trPr>
        <w:tc>
          <w:tcPr>
            <w:tcW w:w="2802" w:type="dxa"/>
            <w:vMerge w:val="restart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Variabel</w:t>
            </w:r>
          </w:p>
        </w:tc>
        <w:tc>
          <w:tcPr>
            <w:tcW w:w="4252" w:type="dxa"/>
            <w:gridSpan w:val="5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Tahun</w:t>
            </w:r>
          </w:p>
        </w:tc>
      </w:tr>
      <w:tr w:rsidR="000B58FA" w:rsidRPr="009C0FC7" w:rsidTr="00612644">
        <w:trPr>
          <w:jc w:val="center"/>
        </w:trPr>
        <w:tc>
          <w:tcPr>
            <w:tcW w:w="2802" w:type="dxa"/>
            <w:vMerge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Profitabilitas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(ROE)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32,79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25,41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15,96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14,59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15,72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Kebijakan Dividen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(DPR)</w:t>
            </w:r>
          </w:p>
        </w:tc>
        <w:tc>
          <w:tcPr>
            <w:tcW w:w="850" w:type="dxa"/>
          </w:tcPr>
          <w:p w:rsidR="0071321B" w:rsidRPr="009C0FC7" w:rsidRDefault="00184FA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0,91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0,71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Kebijakan Hutang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(DER)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28,10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29,80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16,90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25,89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4,13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Nilai Perusahaan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(PBV)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4,98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6,06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6,67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7,66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</w:tr>
    </w:tbl>
    <w:p w:rsidR="00612644" w:rsidRDefault="00612644" w:rsidP="00612644">
      <w:pPr>
        <w:rPr>
          <w:rFonts w:ascii="Times New Roman" w:hAnsi="Times New Roman" w:cs="Times New Roman"/>
          <w:b/>
          <w:sz w:val="20"/>
          <w:szCs w:val="20"/>
        </w:rPr>
      </w:pPr>
    </w:p>
    <w:p w:rsidR="0071321B" w:rsidRPr="009C0FC7" w:rsidRDefault="00F650D5" w:rsidP="0061264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FC7">
        <w:rPr>
          <w:rFonts w:ascii="Times New Roman" w:hAnsi="Times New Roman" w:cs="Times New Roman"/>
          <w:b/>
          <w:sz w:val="20"/>
          <w:szCs w:val="20"/>
        </w:rPr>
        <w:t>INTP (Indocement Tunggal Prakarsa Tbk)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850"/>
        <w:gridCol w:w="851"/>
        <w:gridCol w:w="850"/>
        <w:gridCol w:w="851"/>
        <w:gridCol w:w="850"/>
      </w:tblGrid>
      <w:tr w:rsidR="000B58FA" w:rsidRPr="009C0FC7" w:rsidTr="00612644">
        <w:trPr>
          <w:trHeight w:val="338"/>
          <w:jc w:val="center"/>
        </w:trPr>
        <w:tc>
          <w:tcPr>
            <w:tcW w:w="2802" w:type="dxa"/>
            <w:vMerge w:val="restart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Variabel</w:t>
            </w:r>
          </w:p>
        </w:tc>
        <w:tc>
          <w:tcPr>
            <w:tcW w:w="4252" w:type="dxa"/>
            <w:gridSpan w:val="5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Tahun</w:t>
            </w:r>
          </w:p>
        </w:tc>
      </w:tr>
      <w:tr w:rsidR="000B58FA" w:rsidRPr="009C0FC7" w:rsidTr="00612644">
        <w:trPr>
          <w:jc w:val="center"/>
        </w:trPr>
        <w:tc>
          <w:tcPr>
            <w:tcW w:w="2802" w:type="dxa"/>
            <w:vMerge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Profitabilitas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(ROE)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24,53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21,81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21,28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18,25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14,81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Kebijakan Dividen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(DPR)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Kebijakan Hutang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(DER)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34,80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66,13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94,29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35,07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88,36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Nilai Perusahaan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(PBV)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52,75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62,41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67,32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64,83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71,00</w:t>
            </w:r>
          </w:p>
        </w:tc>
      </w:tr>
    </w:tbl>
    <w:p w:rsidR="00612644" w:rsidRDefault="00612644" w:rsidP="00612644">
      <w:pPr>
        <w:rPr>
          <w:rFonts w:ascii="Times New Roman" w:hAnsi="Times New Roman" w:cs="Times New Roman"/>
          <w:b/>
          <w:sz w:val="20"/>
          <w:szCs w:val="20"/>
        </w:rPr>
      </w:pPr>
    </w:p>
    <w:p w:rsidR="00612644" w:rsidRDefault="00612644" w:rsidP="00612644">
      <w:pPr>
        <w:rPr>
          <w:rFonts w:ascii="Times New Roman" w:hAnsi="Times New Roman" w:cs="Times New Roman"/>
          <w:b/>
          <w:sz w:val="20"/>
          <w:szCs w:val="20"/>
        </w:rPr>
      </w:pPr>
    </w:p>
    <w:p w:rsidR="00C40244" w:rsidRDefault="00C40244" w:rsidP="00612644">
      <w:pPr>
        <w:rPr>
          <w:rFonts w:ascii="Times New Roman" w:hAnsi="Times New Roman" w:cs="Times New Roman"/>
          <w:b/>
          <w:sz w:val="20"/>
          <w:szCs w:val="20"/>
        </w:rPr>
      </w:pPr>
    </w:p>
    <w:p w:rsidR="0071321B" w:rsidRPr="009C0FC7" w:rsidRDefault="00F650D5" w:rsidP="0061264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FC7">
        <w:rPr>
          <w:rFonts w:ascii="Times New Roman" w:hAnsi="Times New Roman" w:cs="Times New Roman"/>
          <w:b/>
          <w:sz w:val="20"/>
          <w:szCs w:val="20"/>
        </w:rPr>
        <w:lastRenderedPageBreak/>
        <w:t>EKAD (Ekadharma Internatonal Tbk)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850"/>
        <w:gridCol w:w="851"/>
        <w:gridCol w:w="850"/>
        <w:gridCol w:w="851"/>
        <w:gridCol w:w="850"/>
      </w:tblGrid>
      <w:tr w:rsidR="000B58FA" w:rsidRPr="009C0FC7" w:rsidTr="00612644">
        <w:trPr>
          <w:trHeight w:val="338"/>
          <w:jc w:val="center"/>
        </w:trPr>
        <w:tc>
          <w:tcPr>
            <w:tcW w:w="2802" w:type="dxa"/>
            <w:vMerge w:val="restart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Variabel</w:t>
            </w:r>
          </w:p>
        </w:tc>
        <w:tc>
          <w:tcPr>
            <w:tcW w:w="4252" w:type="dxa"/>
            <w:gridSpan w:val="5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Tahun</w:t>
            </w:r>
          </w:p>
        </w:tc>
      </w:tr>
      <w:tr w:rsidR="000B58FA" w:rsidRPr="009C0FC7" w:rsidTr="00612644">
        <w:trPr>
          <w:jc w:val="center"/>
        </w:trPr>
        <w:tc>
          <w:tcPr>
            <w:tcW w:w="2802" w:type="dxa"/>
            <w:vMerge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851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850" w:type="dxa"/>
            <w:vAlign w:val="center"/>
          </w:tcPr>
          <w:p w:rsidR="000B58FA" w:rsidRPr="009C0FC7" w:rsidRDefault="000B58FA" w:rsidP="00612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Profitabilitas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(ROE)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18,86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16,60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14,92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16,11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15,32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Kebijakan Dividen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(DPR)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Kebijakan Hutang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(DER)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15,44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16,19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15,71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14,82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25,46</w:t>
            </w:r>
          </w:p>
        </w:tc>
      </w:tr>
      <w:tr w:rsidR="0071321B" w:rsidRPr="009C0FC7" w:rsidTr="00612644">
        <w:trPr>
          <w:jc w:val="center"/>
        </w:trPr>
        <w:tc>
          <w:tcPr>
            <w:tcW w:w="2802" w:type="dxa"/>
          </w:tcPr>
          <w:p w:rsidR="0071321B" w:rsidRPr="009C0FC7" w:rsidRDefault="0071321B" w:rsidP="00612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 xml:space="preserve">Nilai Perusahaan </w:t>
            </w:r>
            <w:r w:rsidR="00F00BB0" w:rsidRPr="009C0FC7">
              <w:rPr>
                <w:rFonts w:ascii="Times New Roman" w:hAnsi="Times New Roman" w:cs="Times New Roman"/>
                <w:sz w:val="20"/>
                <w:szCs w:val="20"/>
              </w:rPr>
              <w:t>(PBV)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2,74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3,40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3,90</w:t>
            </w:r>
          </w:p>
        </w:tc>
        <w:tc>
          <w:tcPr>
            <w:tcW w:w="851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4,17</w:t>
            </w:r>
          </w:p>
        </w:tc>
        <w:tc>
          <w:tcPr>
            <w:tcW w:w="850" w:type="dxa"/>
          </w:tcPr>
          <w:p w:rsidR="0071321B" w:rsidRPr="009C0FC7" w:rsidRDefault="00F650D5" w:rsidP="006126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0FC7">
              <w:rPr>
                <w:rFonts w:ascii="Times New Roman" w:hAnsi="Times New Roman" w:cs="Times New Roman"/>
                <w:sz w:val="20"/>
                <w:szCs w:val="20"/>
              </w:rPr>
              <w:t>8,47</w:t>
            </w:r>
          </w:p>
        </w:tc>
      </w:tr>
    </w:tbl>
    <w:p w:rsidR="0071321B" w:rsidRPr="009C0FC7" w:rsidRDefault="0071321B" w:rsidP="00612644">
      <w:pPr>
        <w:rPr>
          <w:rFonts w:ascii="Times New Roman" w:hAnsi="Times New Roman" w:cs="Times New Roman"/>
          <w:sz w:val="20"/>
          <w:szCs w:val="20"/>
        </w:rPr>
      </w:pPr>
    </w:p>
    <w:sectPr w:rsidR="0071321B" w:rsidRPr="009C0FC7" w:rsidSect="00C40244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21B"/>
    <w:rsid w:val="000B58FA"/>
    <w:rsid w:val="00184FA5"/>
    <w:rsid w:val="00417FBA"/>
    <w:rsid w:val="005F0D04"/>
    <w:rsid w:val="00612644"/>
    <w:rsid w:val="006C7288"/>
    <w:rsid w:val="0071321B"/>
    <w:rsid w:val="007729CE"/>
    <w:rsid w:val="00855C4C"/>
    <w:rsid w:val="009C0FC7"/>
    <w:rsid w:val="00B7203F"/>
    <w:rsid w:val="00C40244"/>
    <w:rsid w:val="00F00BB0"/>
    <w:rsid w:val="00F6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3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3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2018-08-14T13:41:00Z</dcterms:created>
  <dcterms:modified xsi:type="dcterms:W3CDTF">2018-08-14T13:41:00Z</dcterms:modified>
</cp:coreProperties>
</file>